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Minutes of First Board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August 24th,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Location: 4021 E. Hillandale Dr, Kalamazoo, MI 49008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Attendees: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- Chiron Herweg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- Josh Iocca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- Kelly McWhinnie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- Andrew Burciaga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t xml:space="preserve">Meeting Called to Order by: Josh Iocca at 12PM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1. Appointment of Officers: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- Chiron Herweg nominated and approved as President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- Josh Iocca nominated and approved as Treasurer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- Kelly McWhinnie nominated and approved as Secretary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- Andrew Burciaga confirmed as Director (non-officer)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2. Conflict of Interest Disclosures: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- Andrew Burciaga disclosed he is the brother-in-law of Treasurer Josh Iocca.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- The Board determined no financial conflict exists, and Andrew agreed to recuse himself from any future votes involving potential conflicts. Disclosure noted and recorded.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3. Adoption of Bylaws: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- The Board reviewed and unanimously approved the bylaws.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4. Conflict of Interest Policy: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- The Board adopted the Conflict of Interest Policy as included in the bylaws.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- All members agreed to sign a conflict of interest acknowledgment form.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5. Bank Account Authorization: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- Josh Iocca was authorized by vote to open a bank account in the name of the Corporation.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6. Other Business: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- The Board discussed initial fundraising strategy and agreed to focus on supporting youth baseball programs under the Foundation’s mission.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  <w:t xml:space="preserve">Meeting Adjourned at: 1PM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  <w:t xml:space="preserve">Minutes submitted by: Kelly McWhinnie, Secretary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Pknzo/gtPjIQvLggBqw36y4RQ==">CgMxLjA4AHIhMXh6dXJENGt0UkdkX2RONW5nc0JTc0Q5R0pTQjRVSzA3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